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344B5" w14:textId="17D3DFD2" w:rsidR="00CC3A54" w:rsidRPr="00C22D4D" w:rsidRDefault="00C22D4D">
      <w:pPr>
        <w:rPr>
          <w:rFonts w:ascii="Times New Roman" w:hAnsi="Times New Roman" w:cs="Times New Roman"/>
          <w:b/>
          <w:sz w:val="24"/>
          <w:szCs w:val="24"/>
        </w:rPr>
      </w:pPr>
      <w:r w:rsidRPr="00C22D4D">
        <w:rPr>
          <w:rFonts w:ascii="Times New Roman" w:hAnsi="Times New Roman" w:cs="Times New Roman"/>
          <w:b/>
          <w:sz w:val="24"/>
          <w:szCs w:val="24"/>
        </w:rPr>
        <w:t>Prilog</w:t>
      </w:r>
      <w:r w:rsidR="00A93F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46E">
        <w:rPr>
          <w:rFonts w:ascii="Times New Roman" w:hAnsi="Times New Roman" w:cs="Times New Roman"/>
          <w:b/>
          <w:sz w:val="24"/>
          <w:szCs w:val="24"/>
        </w:rPr>
        <w:t>3</w:t>
      </w:r>
    </w:p>
    <w:p w14:paraId="47AFD6CE" w14:textId="77777777" w:rsidR="00C22D4D" w:rsidRPr="00C22D4D" w:rsidRDefault="00C22D4D">
      <w:pPr>
        <w:rPr>
          <w:rFonts w:ascii="Times New Roman" w:hAnsi="Times New Roman" w:cs="Times New Roman"/>
          <w:b/>
          <w:sz w:val="24"/>
          <w:szCs w:val="24"/>
        </w:rPr>
      </w:pPr>
    </w:p>
    <w:p w14:paraId="3FD06AD6" w14:textId="77777777" w:rsidR="00A93F65" w:rsidRPr="00A93F65" w:rsidRDefault="00A93F65" w:rsidP="00A93F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C22D4D">
        <w:rPr>
          <w:rFonts w:ascii="Times New Roman" w:hAnsi="Times New Roman" w:cs="Times New Roman"/>
          <w:b/>
          <w:sz w:val="24"/>
          <w:szCs w:val="24"/>
        </w:rPr>
        <w:t xml:space="preserve">iljevi lokalne razvojne strategije </w:t>
      </w:r>
      <w:r>
        <w:rPr>
          <w:rFonts w:ascii="Times New Roman" w:hAnsi="Times New Roman" w:cs="Times New Roman"/>
          <w:b/>
          <w:sz w:val="24"/>
          <w:szCs w:val="24"/>
        </w:rPr>
        <w:t>LAG</w:t>
      </w:r>
      <w:r w:rsidRPr="00A93F65">
        <w:rPr>
          <w:rFonts w:ascii="Times New Roman" w:hAnsi="Times New Roman" w:cs="Times New Roman"/>
          <w:b/>
          <w:sz w:val="24"/>
          <w:szCs w:val="24"/>
        </w:rPr>
        <w:t xml:space="preserve">-a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A93F65">
        <w:rPr>
          <w:rFonts w:ascii="Times New Roman" w:hAnsi="Times New Roman" w:cs="Times New Roman"/>
          <w:b/>
          <w:sz w:val="24"/>
          <w:szCs w:val="24"/>
        </w:rPr>
        <w:t xml:space="preserve">jeverozapad </w:t>
      </w:r>
    </w:p>
    <w:p w14:paraId="399F70F4" w14:textId="77777777" w:rsidR="00E81556" w:rsidRPr="00C22D4D" w:rsidRDefault="00A93F65" w:rsidP="00A93F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F65">
        <w:rPr>
          <w:rFonts w:ascii="Times New Roman" w:hAnsi="Times New Roman" w:cs="Times New Roman"/>
          <w:b/>
          <w:sz w:val="24"/>
          <w:szCs w:val="24"/>
        </w:rPr>
        <w:t>za razdoblje 2023. – 2027.</w:t>
      </w:r>
      <w:r w:rsidRPr="00C22D4D">
        <w:rPr>
          <w:rFonts w:ascii="Times New Roman" w:hAnsi="Times New Roman" w:cs="Times New Roman"/>
          <w:b/>
          <w:sz w:val="24"/>
          <w:szCs w:val="24"/>
        </w:rPr>
        <w:t>, uključujući i dodanu vrijednost</w:t>
      </w:r>
    </w:p>
    <w:p w14:paraId="34BD18FB" w14:textId="77777777" w:rsidR="00E81556" w:rsidRPr="00C22D4D" w:rsidRDefault="00E81556">
      <w:pPr>
        <w:rPr>
          <w:rFonts w:ascii="Times New Roman" w:hAnsi="Times New Roman" w:cs="Times New Roman"/>
          <w:b/>
          <w:sz w:val="24"/>
          <w:szCs w:val="24"/>
        </w:rPr>
      </w:pPr>
    </w:p>
    <w:p w14:paraId="557434F1" w14:textId="77777777" w:rsidR="00E81556" w:rsidRPr="00C22D4D" w:rsidRDefault="00C22D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81556" w:rsidRPr="00C22D4D">
        <w:rPr>
          <w:rFonts w:ascii="Times New Roman" w:hAnsi="Times New Roman" w:cs="Times New Roman"/>
          <w:b/>
          <w:sz w:val="24"/>
          <w:szCs w:val="24"/>
        </w:rPr>
        <w:t>Opis općih i specifičnih ciljeva LRS</w:t>
      </w:r>
    </w:p>
    <w:p w14:paraId="661FE0A2" w14:textId="77777777" w:rsidR="00E81556" w:rsidRPr="00C22D4D" w:rsidRDefault="00E81556" w:rsidP="00E81556">
      <w:pPr>
        <w:keepNext/>
        <w:keepLines/>
        <w:spacing w:after="0" w:line="240" w:lineRule="auto"/>
        <w:jc w:val="both"/>
        <w:outlineLvl w:val="2"/>
        <w:rPr>
          <w:rFonts w:ascii="Times New Roman" w:eastAsia="Yu Gothic Light" w:hAnsi="Times New Roman" w:cs="Times New Roman"/>
          <w:b/>
          <w:sz w:val="24"/>
          <w:szCs w:val="24"/>
        </w:rPr>
      </w:pPr>
    </w:p>
    <w:tbl>
      <w:tblPr>
        <w:tblStyle w:val="Reetkatablic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843"/>
        <w:gridCol w:w="2100"/>
        <w:gridCol w:w="2494"/>
        <w:gridCol w:w="2625"/>
      </w:tblGrid>
      <w:tr w:rsidR="006F641F" w:rsidRPr="00183B77" w14:paraId="0A2C35EE" w14:textId="77777777" w:rsidTr="006F641F">
        <w:trPr>
          <w:trHeight w:val="324"/>
        </w:trPr>
        <w:tc>
          <w:tcPr>
            <w:tcW w:w="1843" w:type="dxa"/>
            <w:shd w:val="clear" w:color="auto" w:fill="B4C6E7" w:themeFill="accent1" w:themeFillTint="66"/>
          </w:tcPr>
          <w:p w14:paraId="6FF993F2" w14:textId="77777777"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bookmarkStart w:id="0" w:name="_Hlk46401780"/>
            <w:r w:rsidRPr="00183B77">
              <w:rPr>
                <w:rFonts w:ascii="Times New Roman" w:eastAsia="Calibri" w:hAnsi="Times New Roman" w:cs="Times New Roman"/>
                <w:iCs/>
              </w:rPr>
              <w:t>Naziv općeg cilja</w:t>
            </w:r>
          </w:p>
        </w:tc>
        <w:tc>
          <w:tcPr>
            <w:tcW w:w="2100" w:type="dxa"/>
            <w:shd w:val="clear" w:color="auto" w:fill="B4C6E7" w:themeFill="accent1" w:themeFillTint="66"/>
          </w:tcPr>
          <w:p w14:paraId="54AD96BC" w14:textId="77777777"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Kratki opis općeg cilja</w:t>
            </w:r>
          </w:p>
        </w:tc>
        <w:tc>
          <w:tcPr>
            <w:tcW w:w="2494" w:type="dxa"/>
            <w:shd w:val="clear" w:color="auto" w:fill="B4C6E7" w:themeFill="accent1" w:themeFillTint="66"/>
          </w:tcPr>
          <w:p w14:paraId="227C92D3" w14:textId="77777777"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Naziv specifičnog cilja</w:t>
            </w:r>
          </w:p>
        </w:tc>
        <w:tc>
          <w:tcPr>
            <w:tcW w:w="2625" w:type="dxa"/>
            <w:shd w:val="clear" w:color="auto" w:fill="B4C6E7" w:themeFill="accent1" w:themeFillTint="66"/>
          </w:tcPr>
          <w:p w14:paraId="20196B0B" w14:textId="77777777"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Kratki opis specifičnog cilja</w:t>
            </w:r>
          </w:p>
        </w:tc>
      </w:tr>
      <w:tr w:rsidR="006F641F" w:rsidRPr="00183B77" w14:paraId="022256D1" w14:textId="77777777" w:rsidTr="006F641F">
        <w:trPr>
          <w:trHeight w:val="708"/>
        </w:trPr>
        <w:tc>
          <w:tcPr>
            <w:tcW w:w="1843" w:type="dxa"/>
            <w:vMerge w:val="restart"/>
            <w:vAlign w:val="center"/>
          </w:tcPr>
          <w:p w14:paraId="5D1D9006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C1: Podizanje konkurentnosti prostora LAG-a Sjeverozapad</w:t>
            </w:r>
          </w:p>
          <w:p w14:paraId="522B2898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00" w:type="dxa"/>
            <w:vAlign w:val="center"/>
          </w:tcPr>
          <w:p w14:paraId="5CC13711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Jačanje poljoprivrede i šumarstva kroz povećanje proizvodnje, produktivnosti  i učinkovitosti  uvođenjem novih tehnologija i inovativnih rješenja</w:t>
            </w:r>
          </w:p>
        </w:tc>
        <w:tc>
          <w:tcPr>
            <w:tcW w:w="2494" w:type="dxa"/>
            <w:vAlign w:val="center"/>
          </w:tcPr>
          <w:p w14:paraId="7B6A7DEF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S1.1. Poticanje održivog i konkurentnog poljoprivrednog sektora kroz modernizaciju, diversifikaciju i zeleno poslovanje</w:t>
            </w:r>
          </w:p>
        </w:tc>
        <w:tc>
          <w:tcPr>
            <w:tcW w:w="2625" w:type="dxa"/>
            <w:vAlign w:val="center"/>
          </w:tcPr>
          <w:p w14:paraId="3F6E3635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 xml:space="preserve">Analiza stanja i SWOT analiza ukazuju na strukturu u kojoj prevladavaju mali </w:t>
            </w:r>
            <w:proofErr w:type="gramStart"/>
            <w:r w:rsidRPr="00183B77">
              <w:rPr>
                <w:rFonts w:ascii="Times New Roman" w:eastAsia="Calibri" w:hAnsi="Times New Roman" w:cs="Times New Roman"/>
                <w:iCs/>
              </w:rPr>
              <w:t>poljoprivredni  proizvođači</w:t>
            </w:r>
            <w:proofErr w:type="gram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orijentirani na nisko dohodovne </w:t>
            </w:r>
            <w:proofErr w:type="gramStart"/>
            <w:r w:rsidRPr="00183B77">
              <w:rPr>
                <w:rFonts w:ascii="Times New Roman" w:eastAsia="Calibri" w:hAnsi="Times New Roman" w:cs="Times New Roman"/>
                <w:iCs/>
              </w:rPr>
              <w:t>kulture  i</w:t>
            </w:r>
            <w:proofErr w:type="gram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nedovoljno tehnološki opremljeni koje je potrebno potaknuti na ulaganja u modernizaciju tehnologije i proširenje kapaciteta.</w:t>
            </w:r>
          </w:p>
        </w:tc>
      </w:tr>
      <w:tr w:rsidR="006F641F" w:rsidRPr="00183B77" w14:paraId="5FAE177C" w14:textId="77777777" w:rsidTr="006F641F">
        <w:trPr>
          <w:trHeight w:val="2954"/>
        </w:trPr>
        <w:tc>
          <w:tcPr>
            <w:tcW w:w="1843" w:type="dxa"/>
            <w:vMerge/>
            <w:vAlign w:val="center"/>
          </w:tcPr>
          <w:p w14:paraId="7A692EF1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00" w:type="dxa"/>
            <w:vAlign w:val="center"/>
          </w:tcPr>
          <w:p w14:paraId="303ADB66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Potreba se odnosi na stvaranje dodane vrijednosti kroz razvoj nepoljoprivredne djelatnosti na OPG-ima što će ojačati tržišnu konkurentnost, razviti poduzetništvo i utjecati na otvaranje radnih mjesta</w:t>
            </w:r>
          </w:p>
        </w:tc>
        <w:tc>
          <w:tcPr>
            <w:tcW w:w="2494" w:type="dxa"/>
            <w:vAlign w:val="center"/>
          </w:tcPr>
          <w:p w14:paraId="5CFFAE98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S1.2. Poticanje održivog i konkurentnog poljoprivrednog sektora kroz ulaganje u razvoj nepoljoprivrednih djelatnosti na ruralnom području</w:t>
            </w:r>
          </w:p>
        </w:tc>
        <w:tc>
          <w:tcPr>
            <w:tcW w:w="2625" w:type="dxa"/>
            <w:vAlign w:val="center"/>
          </w:tcPr>
          <w:p w14:paraId="57D9F58D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Razvojem nepoljoprivredne djelatnosti na OPG-ima ostvaruje se povećanje prihoda i povećava</w:t>
            </w:r>
            <w:r>
              <w:rPr>
                <w:rFonts w:ascii="Times New Roman" w:eastAsia="Calibri" w:hAnsi="Times New Roman" w:cs="Times New Roman"/>
                <w:iCs/>
              </w:rPr>
              <w:t xml:space="preserve"> se</w:t>
            </w:r>
            <w:r w:rsidRPr="00183B77">
              <w:rPr>
                <w:rFonts w:ascii="Times New Roman" w:eastAsia="Calibri" w:hAnsi="Times New Roman" w:cs="Times New Roman"/>
                <w:iCs/>
              </w:rPr>
              <w:t xml:space="preserve"> konkurentnost OPG-a na području LAG-a.</w:t>
            </w:r>
          </w:p>
        </w:tc>
      </w:tr>
      <w:tr w:rsidR="006F641F" w:rsidRPr="00183B77" w14:paraId="1BA37751" w14:textId="77777777" w:rsidTr="006F641F">
        <w:trPr>
          <w:trHeight w:val="2148"/>
        </w:trPr>
        <w:tc>
          <w:tcPr>
            <w:tcW w:w="1843" w:type="dxa"/>
            <w:vMerge/>
            <w:vAlign w:val="center"/>
          </w:tcPr>
          <w:p w14:paraId="34C7D427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00" w:type="dxa"/>
            <w:vAlign w:val="center"/>
          </w:tcPr>
          <w:p w14:paraId="7122A96B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>Potreba se odnosi na potporu razvoju i unaprjeđenju javne infrastrukture što će povećati kvalitetu života i stvoriti daljnje preduvjete za razvoj LAG područja</w:t>
            </w:r>
          </w:p>
        </w:tc>
        <w:tc>
          <w:tcPr>
            <w:tcW w:w="2494" w:type="dxa"/>
            <w:vAlign w:val="center"/>
          </w:tcPr>
          <w:p w14:paraId="59CA5220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 xml:space="preserve">S1.3. Modernizacija i izgradnja javne infrastrukture na području LAG-a Sjeverozapad s </w:t>
            </w:r>
            <w:proofErr w:type="gramStart"/>
            <w:r w:rsidRPr="00183B77">
              <w:rPr>
                <w:rFonts w:ascii="Times New Roman" w:eastAsia="Calibri" w:hAnsi="Times New Roman" w:cs="Times New Roman"/>
                <w:iCs/>
              </w:rPr>
              <w:t>ciljem  poboljšanja</w:t>
            </w:r>
            <w:proofErr w:type="gram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kvalitete života lokalne zajednice </w:t>
            </w:r>
            <w:r>
              <w:rPr>
                <w:rFonts w:ascii="Times New Roman" w:eastAsia="Calibri" w:hAnsi="Times New Roman" w:cs="Times New Roman"/>
                <w:iCs/>
              </w:rPr>
              <w:t>i poticanja društvenog razvoja.</w:t>
            </w:r>
          </w:p>
        </w:tc>
        <w:tc>
          <w:tcPr>
            <w:tcW w:w="2625" w:type="dxa"/>
            <w:vAlign w:val="center"/>
          </w:tcPr>
          <w:p w14:paraId="41BD70F6" w14:textId="77777777"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 xml:space="preserve">Analiza stanja, kao i dionici uključeni u proces izrade LRS-a, istaknuli su razvojnu potrebu za unaprjeđenjem </w:t>
            </w:r>
            <w:proofErr w:type="gramStart"/>
            <w:r w:rsidRPr="00183B77">
              <w:rPr>
                <w:rFonts w:ascii="Times New Roman" w:eastAsia="Calibri" w:hAnsi="Times New Roman" w:cs="Times New Roman"/>
                <w:iCs/>
              </w:rPr>
              <w:t>i  razvojem</w:t>
            </w:r>
            <w:proofErr w:type="gram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infrastrukture koja predstavlja preduvjet rasta i razvoja LAG područja te unapređenju životnih uvjeta područja.</w:t>
            </w:r>
            <w:bookmarkEnd w:id="0"/>
          </w:p>
        </w:tc>
      </w:tr>
    </w:tbl>
    <w:p w14:paraId="6925321E" w14:textId="77777777" w:rsidR="00E81556" w:rsidRPr="00C22D4D" w:rsidRDefault="00E81556">
      <w:pPr>
        <w:rPr>
          <w:rFonts w:ascii="Times New Roman" w:hAnsi="Times New Roman" w:cs="Times New Roman"/>
          <w:b/>
          <w:sz w:val="24"/>
          <w:szCs w:val="24"/>
        </w:rPr>
      </w:pPr>
    </w:p>
    <w:p w14:paraId="5300A4FB" w14:textId="77777777" w:rsidR="00E81556" w:rsidRPr="00C22D4D" w:rsidRDefault="00E81556" w:rsidP="00E81556">
      <w:pPr>
        <w:keepNext/>
        <w:keepLines/>
        <w:spacing w:before="40"/>
        <w:outlineLvl w:val="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O</w:t>
      </w:r>
      <w:r w:rsidR="00C22D4D">
        <w:rPr>
          <w:rFonts w:ascii="Times New Roman" w:hAnsi="Times New Roman" w:cs="Times New Roman"/>
          <w:b/>
          <w:bCs/>
          <w:iCs/>
          <w:sz w:val="24"/>
          <w:szCs w:val="24"/>
        </w:rPr>
        <w:t>pći cilj</w:t>
      </w: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LRS: </w:t>
      </w:r>
      <w:r w:rsidR="006F641F" w:rsidRPr="006F641F">
        <w:rPr>
          <w:rFonts w:ascii="Times New Roman" w:hAnsi="Times New Roman" w:cs="Times New Roman"/>
          <w:b/>
          <w:bCs/>
          <w:iCs/>
          <w:sz w:val="24"/>
          <w:szCs w:val="24"/>
        </w:rPr>
        <w:t>Podizanje konkurentnosti prostora LAG-a Sjeverozapad</w:t>
      </w: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AC6033B" w14:textId="77777777" w:rsidR="00282020" w:rsidRPr="00282020" w:rsidRDefault="00282020" w:rsidP="0028202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82020">
        <w:rPr>
          <w:rFonts w:ascii="Times New Roman" w:hAnsi="Times New Roman" w:cs="Times New Roman"/>
          <w:iCs/>
          <w:sz w:val="24"/>
          <w:szCs w:val="24"/>
        </w:rPr>
        <w:t>Podizanjem konkurentnosti prostora LAG-a Sjeverozapad želi se u konačnici postići da LAG-a Sjeverozapad bude ekološki očuvano i razvijeno ruralno područje izazova i mogućnosti, čija mreža agro-turističke i gospodarske infrastrukture definira jedinstvenu i dinamičnu regiju. Kroz održivi razvoj, LAG Sjeverozapad postaje dobro prometno povezana regija zdrave hrane, pića, zelene industrije i očuvane prirode te prepoznato kulturno, ruralno, gastronomsko, hodočasničko i sportsko-rekreacijsko turističko odredište. Gospodarski i ekonomski je regija usko povezana s urbanim središtima te mjesto mira i zdrave prirode za siguran i ugodan život.</w:t>
      </w:r>
    </w:p>
    <w:p w14:paraId="7976C44C" w14:textId="77777777" w:rsidR="00282020" w:rsidRDefault="00282020" w:rsidP="0028202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Pod podizanjem konkurentnosti prostora LAG-a Sjeverozapad se podrazumijeva: </w:t>
      </w:r>
    </w:p>
    <w:p w14:paraId="5C559DF4" w14:textId="77777777" w:rsidR="00282020" w:rsidRPr="00282020" w:rsidRDefault="00282020" w:rsidP="00282020">
      <w:pPr>
        <w:pStyle w:val="Odlomakpopisa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282020">
        <w:rPr>
          <w:rFonts w:ascii="Times New Roman" w:eastAsia="Calibri" w:hAnsi="Times New Roman" w:cs="Times New Roman"/>
          <w:sz w:val="24"/>
          <w:szCs w:val="24"/>
        </w:rPr>
        <w:t>Jačanje poljoprivrede i šumarstva kroz povećanje proizvodnje, produktivnosti  i učinkovitosti  uvođenjem novih tehnologija i inovativnih rješenja</w:t>
      </w:r>
    </w:p>
    <w:p w14:paraId="5B998DB4" w14:textId="77777777" w:rsidR="00282020" w:rsidRDefault="00282020" w:rsidP="00282020">
      <w:pPr>
        <w:pStyle w:val="Odlomakpopisa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282020">
        <w:rPr>
          <w:rFonts w:ascii="Times New Roman" w:eastAsia="Calibri" w:hAnsi="Times New Roman" w:cs="Times New Roman"/>
          <w:sz w:val="24"/>
          <w:szCs w:val="24"/>
        </w:rPr>
        <w:t>tvaranje dodane vrijednosti kroz razvoj nepoljoprivredne djelatnosti na OPG-ima što će ojačati tržišnu konkurentnost, razviti poduzetništvo i utjecati na otvaranje radnih mjesta</w:t>
      </w:r>
    </w:p>
    <w:p w14:paraId="2CDE1A18" w14:textId="77777777" w:rsidR="00E81556" w:rsidRPr="00282020" w:rsidRDefault="00282020" w:rsidP="00282020">
      <w:pPr>
        <w:pStyle w:val="Odlomakpopisa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282020">
        <w:rPr>
          <w:rFonts w:ascii="Times New Roman" w:eastAsia="Calibri" w:hAnsi="Times New Roman" w:cs="Times New Roman"/>
          <w:sz w:val="24"/>
          <w:szCs w:val="24"/>
        </w:rPr>
        <w:t>azvoj i unaprjeđenju javne infrastrukture što će povećati kvalitetu života i stvoriti daljnje preduvjete za razvoj LAG područja</w:t>
      </w:r>
    </w:p>
    <w:p w14:paraId="5F9BCD2E" w14:textId="77777777" w:rsidR="00282020" w:rsidRPr="00C22D4D" w:rsidRDefault="00282020" w:rsidP="00282020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771B3BF8" w14:textId="77777777" w:rsidR="00E81556" w:rsidRPr="00C22D4D" w:rsidRDefault="00E81556" w:rsidP="00E81556">
      <w:pPr>
        <w:keepNext/>
        <w:keepLines/>
        <w:spacing w:before="4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48360139"/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pecifični cilj </w:t>
      </w: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1: </w:t>
      </w:r>
      <w:bookmarkEnd w:id="1"/>
      <w:r w:rsidR="006F641F" w:rsidRPr="006F641F">
        <w:rPr>
          <w:rFonts w:ascii="Times New Roman" w:eastAsia="Arial" w:hAnsi="Times New Roman" w:cs="Times New Roman"/>
          <w:b/>
          <w:bCs/>
          <w:sz w:val="24"/>
          <w:szCs w:val="24"/>
        </w:rPr>
        <w:t>Poticanje održivog i konkurentnog poljoprivrednog sektora kroz modernizaciju, diversifikaciju i zeleno poslovanje</w:t>
      </w:r>
    </w:p>
    <w:p w14:paraId="6AD88643" w14:textId="77777777" w:rsidR="00E81556" w:rsidRPr="00C22D4D" w:rsidRDefault="006F641F" w:rsidP="006F641F">
      <w:pPr>
        <w:jc w:val="both"/>
        <w:rPr>
          <w:rFonts w:ascii="Times New Roman" w:hAnsi="Times New Roman" w:cs="Times New Roman"/>
          <w:sz w:val="24"/>
          <w:szCs w:val="24"/>
        </w:rPr>
      </w:pPr>
      <w:r w:rsidRPr="006F641F">
        <w:rPr>
          <w:rFonts w:ascii="Times New Roman" w:eastAsia="Times New Roman" w:hAnsi="Times New Roman" w:cs="Times New Roman"/>
          <w:sz w:val="24"/>
          <w:szCs w:val="24"/>
        </w:rPr>
        <w:t>Analiza stanja i SWOT analiza ukazuju na strukturu u kojoj prevladavaju mali poljoprivredni  proizvođači orijentirani na nisko dohodovne kulture  i nedovoljno tehnološki opremljeni koje je potrebno potaknuti na ulaganja u modernizaciju tehnologije i proširenje kapaciteta.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641F">
        <w:rPr>
          <w:rFonts w:ascii="Times New Roman" w:eastAsia="Times New Roman" w:hAnsi="Times New Roman" w:cs="Times New Roman"/>
          <w:sz w:val="24"/>
          <w:szCs w:val="24"/>
        </w:rPr>
        <w:t>Povećanje konkurentnosti moguće je ostvariti povećanjem poljoprivredne proizvodnje, smanjenjem troškova proizvodnje, povećanjem produktivnosti i učinkovitosti uvođenjem novih, zelenih tehnologija i inovativnih rješenja.</w:t>
      </w:r>
    </w:p>
    <w:p w14:paraId="0FA3AB35" w14:textId="77777777" w:rsidR="00E81556" w:rsidRPr="00C22D4D" w:rsidRDefault="00E81556" w:rsidP="00E81556">
      <w:pPr>
        <w:keepNext/>
        <w:keepLines/>
        <w:spacing w:before="40" w:line="254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148360140"/>
      <w:r w:rsidRPr="00C22D4D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C22D4D">
        <w:rPr>
          <w:rFonts w:ascii="Times New Roman" w:hAnsi="Times New Roman" w:cs="Times New Roman"/>
          <w:b/>
          <w:bCs/>
          <w:sz w:val="24"/>
          <w:szCs w:val="24"/>
        </w:rPr>
        <w:t>pecifični cilj</w:t>
      </w:r>
      <w:r w:rsidRPr="00C22D4D">
        <w:rPr>
          <w:rFonts w:ascii="Times New Roman" w:hAnsi="Times New Roman" w:cs="Times New Roman"/>
          <w:b/>
          <w:bCs/>
          <w:sz w:val="24"/>
          <w:szCs w:val="24"/>
        </w:rPr>
        <w:t xml:space="preserve"> 2: </w:t>
      </w:r>
      <w:bookmarkEnd w:id="2"/>
      <w:r w:rsidR="006F641F" w:rsidRPr="006F641F">
        <w:rPr>
          <w:rFonts w:ascii="Times New Roman" w:hAnsi="Times New Roman" w:cs="Times New Roman"/>
          <w:b/>
          <w:bCs/>
          <w:sz w:val="24"/>
          <w:szCs w:val="24"/>
        </w:rPr>
        <w:t>Poticanje održivog i konkurentnog poljoprivrednog sektora kroz ulaganje u razvoj nepoljoprivrednih djelatnosti na ruralnom području</w:t>
      </w:r>
    </w:p>
    <w:p w14:paraId="14EBD544" w14:textId="77777777" w:rsidR="00EC79E7" w:rsidRDefault="006F641F" w:rsidP="00282020">
      <w:pPr>
        <w:tabs>
          <w:tab w:val="left" w:pos="355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82020">
        <w:rPr>
          <w:rFonts w:ascii="Times New Roman" w:hAnsi="Times New Roman" w:cs="Times New Roman"/>
          <w:sz w:val="24"/>
          <w:szCs w:val="24"/>
        </w:rPr>
        <w:t>Razvojem nepoljoprivredne djelatnosti na OPG-ima ostvaruje se povećanje prihoda i povećava se konkurentnost OPG-a na području LAG-a.</w:t>
      </w:r>
      <w:r w:rsidR="00282020" w:rsidRPr="00282020">
        <w:rPr>
          <w:rFonts w:ascii="Times New Roman" w:hAnsi="Times New Roman" w:cs="Times New Roman"/>
          <w:sz w:val="24"/>
          <w:szCs w:val="24"/>
        </w:rPr>
        <w:t xml:space="preserve"> Mali poljoprivredni proizvođači, koji prevladavaju na području LAG-a, uglavnom su mješovita gospodarstva koja se bave primarnom poljoprivrednom proizvodnjom te im zbog bavljenja nisko dohodovnim kulturama i malih kapaciteta, poljoprivreda nije primarni izvor prihoda. SWOT analizom utvrđen je nedovoljno iskorišten potencijal tradicijskih i umjetničkih obrta u sferi turizma, nedostatna ponuda domaćih proizvoda putem specijaliziranih kušaonica i izletišta, nedostatak koordinacije u razvoju turizma i poljoprivrede. Povećanje prihoda na OPG-ima moguće je ostvariti razvojem dodatnih djelatnosti na poljoprivrednim gospodarstvima čime će se stvoriti novi izvori prihoda te dodatne mogućnosti za zapošljavanje što će povećati  prepoznatljivost i atraktivnost LAG područja, utjecati na razvoj turizma, tradicijskih obrta i drugih djelatnosti.</w:t>
      </w:r>
    </w:p>
    <w:p w14:paraId="36615058" w14:textId="77777777" w:rsidR="00282020" w:rsidRPr="00C22D4D" w:rsidRDefault="00282020" w:rsidP="00282020">
      <w:pPr>
        <w:keepNext/>
        <w:keepLines/>
        <w:spacing w:before="40" w:line="254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C22D4D">
        <w:rPr>
          <w:rFonts w:ascii="Times New Roman" w:hAnsi="Times New Roman" w:cs="Times New Roman"/>
          <w:b/>
          <w:bCs/>
          <w:sz w:val="24"/>
          <w:szCs w:val="24"/>
        </w:rPr>
        <w:lastRenderedPageBreak/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pecifični cilj</w:t>
      </w:r>
      <w:r w:rsidRPr="00C22D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22D4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282020">
        <w:rPr>
          <w:rFonts w:ascii="Times New Roman" w:hAnsi="Times New Roman" w:cs="Times New Roman"/>
          <w:b/>
          <w:bCs/>
          <w:sz w:val="24"/>
          <w:szCs w:val="24"/>
        </w:rPr>
        <w:t>Modernizacija i izgradnja javne infrastrukture na području LAG-a Sjeverozapad s ciljem  poboljšanja kvalitete života lokalne zajednice i poticanja društvenog razvoja.</w:t>
      </w:r>
    </w:p>
    <w:p w14:paraId="4E54141D" w14:textId="77777777" w:rsidR="00282020" w:rsidRDefault="00282020" w:rsidP="00282020">
      <w:pPr>
        <w:tabs>
          <w:tab w:val="left" w:pos="355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82020">
        <w:rPr>
          <w:rFonts w:ascii="Times New Roman" w:hAnsi="Times New Roman" w:cs="Times New Roman"/>
          <w:sz w:val="24"/>
          <w:szCs w:val="24"/>
        </w:rPr>
        <w:t>Analiza stanja, kao i dionici uključeni u proces izrade LRS-a, istaknuli su razvojnu potrebu za unaprjeđenjem i  razvojem infrastrukture koja predstavlja preduvjet rasta i razvoja LAG područja te unapređenju životnih uvjeta područja.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020">
        <w:rPr>
          <w:rFonts w:ascii="Times New Roman" w:hAnsi="Times New Roman" w:cs="Times New Roman"/>
          <w:sz w:val="24"/>
          <w:szCs w:val="24"/>
        </w:rPr>
        <w:t>Da bi se zaustavili negativni trendovi potrebno je poticati stvaranje kvalitetnijih uvjeta za život i otvarati nova radna mjesta. Time bi se trebala zaustaviti depopulacija područja LAG-a te povećati doseljavanje i natalitet. Analizom stanja utvrđeno je loše stanje javne infrastrukture koju je potrebno razvijati, primjerice: javne površine, parkirališta, prometnice i prometna signalizacija, groblja, dječja igrališta, sportski tereni, vrtići i društveni domovi. Iz navedenog je vidljivo da postoje značajne potrebe za razvojem i unaprjeđenjem javne infrastrukture. Razvoj i unaprjeđenje infrastrukture će povećati kvalitetu života i stvoriti daljnje preduvjete za razvoj LAG područja i smanjiti depopulaciju područja LAG-a.</w:t>
      </w:r>
    </w:p>
    <w:p w14:paraId="0A9475B4" w14:textId="77777777" w:rsidR="00282020" w:rsidRPr="00282020" w:rsidRDefault="00282020" w:rsidP="00282020">
      <w:pPr>
        <w:tabs>
          <w:tab w:val="left" w:pos="355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C7433B5" w14:textId="77777777" w:rsidR="005D34F9" w:rsidRDefault="00C22D4D" w:rsidP="005D34F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EC79E7" w:rsidRPr="00C22D4D">
        <w:rPr>
          <w:rFonts w:ascii="Times New Roman" w:eastAsia="Times New Roman" w:hAnsi="Times New Roman" w:cs="Times New Roman"/>
          <w:b/>
          <w:bCs/>
          <w:sz w:val="24"/>
          <w:szCs w:val="24"/>
        </w:rPr>
        <w:t>Doprinos dodanoj vrijednosti LEADER-a</w:t>
      </w:r>
      <w:r w:rsidR="00EC79E7" w:rsidRPr="00C22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F0A53C" w14:textId="77777777" w:rsidR="005D34F9" w:rsidRPr="009F3CEE" w:rsidRDefault="005D34F9" w:rsidP="005D34F9">
      <w:pPr>
        <w:jc w:val="both"/>
        <w:rPr>
          <w:sz w:val="24"/>
        </w:rPr>
      </w:pPr>
      <w:r w:rsidRPr="009F3CEE">
        <w:rPr>
          <w:rFonts w:ascii="Times New Roman" w:hAnsi="Times New Roman" w:cs="Times New Roman"/>
          <w:sz w:val="24"/>
        </w:rPr>
        <w:t>Glavne razlike i dodana vrijednost LAG intervencija u odnosu na intervencije iz SP ZPP su da je LAG intervencija namijenjena samo za LAG područje i jačanje ljudskih kapaciteta JLS-a za pripremu i provedbu EU projekata s LAG područja. Također, predmetna intervencija namijenjena je za vrste prihvatljivih projekata koji su jedinstveni za LAG Sjeverozapad. Najviša ukupna vrijednost projekta ne smije biti veća od 300.000 EUR (bez PDV-a) što nema niti jedna intervencija SP ZPP. Načela kriterija odabira korisnika specifična su za područje LAG-a Sjeverozapad te različita u odnosu na bilo koju intervenciju SP ZPP. Nadalje, intervencija pogoduje provedbi koncepta Pametnih sela definiranjem kriterija koji doprinosi digitalizaciji u poljoprivredi i ostalim društvenim aktivnostima u selima što je specifično za LAG intervenciju.</w:t>
      </w:r>
    </w:p>
    <w:p w14:paraId="7AFFB9A6" w14:textId="77777777" w:rsidR="00EC79E7" w:rsidRPr="00C22D4D" w:rsidRDefault="00EC79E7" w:rsidP="005D3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C79E7" w:rsidRPr="00C22D4D" w:rsidSect="00E30879">
      <w:headerReference w:type="default" r:id="rId7"/>
      <w:pgSz w:w="11906" w:h="16838"/>
      <w:pgMar w:top="2153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7F41" w14:textId="77777777" w:rsidR="004761B3" w:rsidRDefault="004761B3" w:rsidP="00C22D4D">
      <w:pPr>
        <w:spacing w:after="0" w:line="240" w:lineRule="auto"/>
      </w:pPr>
      <w:r>
        <w:separator/>
      </w:r>
    </w:p>
  </w:endnote>
  <w:endnote w:type="continuationSeparator" w:id="0">
    <w:p w14:paraId="7AC96BAF" w14:textId="77777777" w:rsidR="004761B3" w:rsidRDefault="004761B3" w:rsidP="00C2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3B1DE" w14:textId="77777777" w:rsidR="004761B3" w:rsidRDefault="004761B3" w:rsidP="00C22D4D">
      <w:pPr>
        <w:spacing w:after="0" w:line="240" w:lineRule="auto"/>
      </w:pPr>
      <w:r>
        <w:separator/>
      </w:r>
    </w:p>
  </w:footnote>
  <w:footnote w:type="continuationSeparator" w:id="0">
    <w:p w14:paraId="51A542E7" w14:textId="77777777" w:rsidR="004761B3" w:rsidRDefault="004761B3" w:rsidP="00C22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DC8E6" w14:textId="77777777" w:rsidR="00C22D4D" w:rsidRDefault="00A93F65" w:rsidP="009F3CEE">
    <w:pPr>
      <w:pStyle w:val="Zaglavlje"/>
      <w:jc w:val="center"/>
    </w:pPr>
    <w:r w:rsidRPr="00183B77">
      <w:rPr>
        <w:rFonts w:ascii="Cambria" w:hAnsi="Cambria"/>
        <w:noProof/>
        <w:lang w:eastAsia="hr-HR"/>
      </w:rPr>
      <w:drawing>
        <wp:anchor distT="0" distB="0" distL="114300" distR="114300" simplePos="0" relativeHeight="251659264" behindDoc="1" locked="0" layoutInCell="1" allowOverlap="1" wp14:anchorId="014E6CFB" wp14:editId="38B78EC2">
          <wp:simplePos x="0" y="0"/>
          <wp:positionH relativeFrom="margin">
            <wp:posOffset>4441825</wp:posOffset>
          </wp:positionH>
          <wp:positionV relativeFrom="margin">
            <wp:posOffset>-897890</wp:posOffset>
          </wp:positionV>
          <wp:extent cx="640080" cy="640080"/>
          <wp:effectExtent l="0" t="0" r="7620" b="7620"/>
          <wp:wrapTight wrapText="bothSides">
            <wp:wrapPolygon edited="0">
              <wp:start x="0" y="0"/>
              <wp:lineTo x="0" y="21214"/>
              <wp:lineTo x="21214" y="21214"/>
              <wp:lineTo x="21214" y="0"/>
              <wp:lineTo x="0" y="0"/>
            </wp:wrapPolygon>
          </wp:wrapTight>
          <wp:docPr id="7" name="Slika 7" descr="LOGO_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LA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3CEE">
      <w:rPr>
        <w:noProof/>
        <w:lang w:eastAsia="hr-HR"/>
      </w:rPr>
      <w:drawing>
        <wp:inline distT="0" distB="0" distL="0" distR="0" wp14:anchorId="74EC7D72" wp14:editId="2F9562F8">
          <wp:extent cx="3529965" cy="57912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2D5"/>
    <w:multiLevelType w:val="hybridMultilevel"/>
    <w:tmpl w:val="D4D6B2DC"/>
    <w:lvl w:ilvl="0" w:tplc="C6A43A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636353"/>
    <w:multiLevelType w:val="hybridMultilevel"/>
    <w:tmpl w:val="486E1208"/>
    <w:lvl w:ilvl="0" w:tplc="B30677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B4424"/>
    <w:multiLevelType w:val="multilevel"/>
    <w:tmpl w:val="D01EC8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i w:val="0"/>
        <w:color w:val="000000" w:themeColor="text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BD85E59"/>
    <w:multiLevelType w:val="hybridMultilevel"/>
    <w:tmpl w:val="697059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186696">
    <w:abstractNumId w:val="3"/>
  </w:num>
  <w:num w:numId="2" w16cid:durableId="1043674305">
    <w:abstractNumId w:val="0"/>
  </w:num>
  <w:num w:numId="3" w16cid:durableId="1490707460">
    <w:abstractNumId w:val="2"/>
  </w:num>
  <w:num w:numId="4" w16cid:durableId="1296792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56"/>
    <w:rsid w:val="00282020"/>
    <w:rsid w:val="004761B3"/>
    <w:rsid w:val="005D34F9"/>
    <w:rsid w:val="0063146E"/>
    <w:rsid w:val="006F641F"/>
    <w:rsid w:val="009F3CEE"/>
    <w:rsid w:val="00A93F65"/>
    <w:rsid w:val="00BA247B"/>
    <w:rsid w:val="00C22D4D"/>
    <w:rsid w:val="00CC3A54"/>
    <w:rsid w:val="00E30879"/>
    <w:rsid w:val="00E81556"/>
    <w:rsid w:val="00EC79E7"/>
    <w:rsid w:val="00F2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18BB04"/>
  <w15:chartTrackingRefBased/>
  <w15:docId w15:val="{D6BABEEB-78AF-4631-A5E2-F1E48E65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rsid w:val="00E81556"/>
    <w:pPr>
      <w:spacing w:after="0" w:line="240" w:lineRule="auto"/>
      <w:jc w:val="both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qFormat/>
    <w:rsid w:val="00E81556"/>
    <w:pPr>
      <w:spacing w:after="0" w:line="240" w:lineRule="auto"/>
      <w:jc w:val="both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qFormat/>
    <w:rsid w:val="00E81556"/>
    <w:rPr>
      <w:rFonts w:eastAsiaTheme="minorEastAsia"/>
      <w:lang w:val="en-US"/>
    </w:rPr>
  </w:style>
  <w:style w:type="table" w:customStyle="1" w:styleId="Reetkatablice2">
    <w:name w:val="Rešetka tablice2"/>
    <w:basedOn w:val="Obinatablica"/>
    <w:next w:val="Reetkatablice"/>
    <w:uiPriority w:val="39"/>
    <w:rsid w:val="00E8155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22D4D"/>
  </w:style>
  <w:style w:type="paragraph" w:styleId="Podnoje">
    <w:name w:val="footer"/>
    <w:basedOn w:val="Normal"/>
    <w:link w:val="PodnojeChar"/>
    <w:uiPriority w:val="99"/>
    <w:unhideWhenUsed/>
    <w:rsid w:val="00C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22D4D"/>
  </w:style>
  <w:style w:type="paragraph" w:styleId="Odlomakpopisa">
    <w:name w:val="List Paragraph"/>
    <w:basedOn w:val="Normal"/>
    <w:link w:val="OdlomakpopisaChar"/>
    <w:uiPriority w:val="34"/>
    <w:qFormat/>
    <w:rsid w:val="006F641F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qFormat/>
    <w:locked/>
    <w:rsid w:val="006F641F"/>
  </w:style>
  <w:style w:type="character" w:customStyle="1" w:styleId="PODNASLOVChar">
    <w:name w:val="PODNASLOV Char"/>
    <w:basedOn w:val="Zadanifontodlomka"/>
    <w:link w:val="PODNASLOV"/>
    <w:uiPriority w:val="99"/>
    <w:qFormat/>
    <w:rsid w:val="00282020"/>
    <w:rPr>
      <w:rFonts w:ascii="Arial" w:hAnsi="Arial" w:cs="Arial"/>
      <w:b/>
      <w:bCs/>
      <w:i/>
      <w:iCs/>
      <w:caps/>
      <w:color w:val="0000FF"/>
      <w:sz w:val="20"/>
      <w:szCs w:val="20"/>
      <w:lang w:eastAsia="hr-HR"/>
    </w:rPr>
  </w:style>
  <w:style w:type="paragraph" w:customStyle="1" w:styleId="PODNASLOV">
    <w:name w:val="PODNASLOV"/>
    <w:basedOn w:val="Normal"/>
    <w:link w:val="PODNASLOVChar"/>
    <w:uiPriority w:val="99"/>
    <w:qFormat/>
    <w:rsid w:val="00282020"/>
    <w:pPr>
      <w:suppressAutoHyphens/>
      <w:spacing w:after="0" w:line="288" w:lineRule="auto"/>
    </w:pPr>
    <w:rPr>
      <w:rFonts w:ascii="Arial" w:hAnsi="Arial" w:cs="Arial"/>
      <w:b/>
      <w:bCs/>
      <w:i/>
      <w:iCs/>
      <w:caps/>
      <w:color w:val="0000FF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</dc:creator>
  <cp:keywords/>
  <dc:description/>
  <cp:lastModifiedBy>Emil Tkalec</cp:lastModifiedBy>
  <cp:revision>8</cp:revision>
  <dcterms:created xsi:type="dcterms:W3CDTF">2024-09-09T07:50:00Z</dcterms:created>
  <dcterms:modified xsi:type="dcterms:W3CDTF">2025-11-06T10:46:00Z</dcterms:modified>
</cp:coreProperties>
</file>